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La théorie du genre existe-t-elle ? A partir de cette question si vivement discutée aujourd’hui, il me semble utile de tenter une réponse – et de formuler une remarque.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b/>
          <w:bCs/>
          <w:color w:val="2C2B2B"/>
          <w:sz w:val="18"/>
          <w:szCs w:val="18"/>
          <w:lang w:eastAsia="fr-FR"/>
        </w:rPr>
        <w:t>Partons de ce qui est certain</w:t>
      </w:r>
      <w:r w:rsidRPr="00750A17">
        <w:rPr>
          <w:rFonts w:ascii="Tahoma" w:hAnsi="Tahoma" w:cs="Tahoma"/>
          <w:color w:val="2C2B2B"/>
          <w:sz w:val="18"/>
          <w:szCs w:val="18"/>
          <w:lang w:eastAsia="fr-FR"/>
        </w:rPr>
        <w:t> : le concept de genre existe bel et bien. Apparu dans la littérature universitaire il y a une quarantaine d’années, il s’est déployé dans des directions variées, au point qu’il est aujourd’hui utilisé dans des champs aussi éloignés que la sociologie, la littérature, l’économie ou les politiques publiques.</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Quel est le sens de ce concept ? Il sert à ceux qui l’emploient de critère d’interprétation pour décrypter la vie sociale et les relations humaines, à partir d’une idée essentielle : les différences entre hommes et femmes ne sont pas liées à une altérité naturelle, mais produites par une construction culturelle, tout entière organisée pour consolider la domination d’un sexe par l’autre.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Ainsi explicité, </w:t>
      </w:r>
      <w:r w:rsidRPr="00750A17">
        <w:rPr>
          <w:rFonts w:ascii="Tahoma" w:hAnsi="Tahoma" w:cs="Tahoma"/>
          <w:b/>
          <w:bCs/>
          <w:color w:val="2C2B2B"/>
          <w:sz w:val="18"/>
          <w:szCs w:val="18"/>
          <w:lang w:eastAsia="fr-FR"/>
        </w:rPr>
        <w:t>le concept de genre recouvre bien une certaine vision du monde</w:t>
      </w:r>
      <w:r w:rsidRPr="00750A17">
        <w:rPr>
          <w:rFonts w:ascii="Tahoma" w:hAnsi="Tahoma" w:cs="Tahoma"/>
          <w:color w:val="2C2B2B"/>
          <w:sz w:val="18"/>
          <w:szCs w:val="18"/>
          <w:lang w:eastAsia="fr-FR"/>
        </w:rPr>
        <w:t> – c’est-à-dire, au sens étymologique du terme, une </w:t>
      </w:r>
      <w:r w:rsidRPr="00750A17">
        <w:rPr>
          <w:rFonts w:ascii="Tahoma" w:hAnsi="Tahoma" w:cs="Tahoma"/>
          <w:i/>
          <w:iCs/>
          <w:color w:val="2C2B2B"/>
          <w:sz w:val="18"/>
          <w:szCs w:val="18"/>
          <w:lang w:eastAsia="fr-FR"/>
        </w:rPr>
        <w:t>théorie</w:t>
      </w:r>
      <w:r w:rsidRPr="00750A17">
        <w:rPr>
          <w:rFonts w:ascii="Tahoma" w:hAnsi="Tahoma" w:cs="Tahoma"/>
          <w:color w:val="2C2B2B"/>
          <w:sz w:val="18"/>
          <w:szCs w:val="18"/>
          <w:lang w:eastAsia="fr-FR"/>
        </w:rPr>
        <w:t>. Le concept même est indissociable de l’hypothèse qui le sous-tend, qui affirme le caractère culturel et construit de la différence entre l’homme et la femme. C’est pour exprimer cette conception particulière qu’il a été forgé par concurrence avec le terme de sexe, supposé décrire une différence biologique que personne ne nie, mais que le concept de genre relègue à un détail insignifiant.</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Pardonnez-moi ces précisions quelque peu abstraites ; elles sont nécessaires pour mettre en évidence le contenu réel du concept de genre, et donc du postulat de départ des fameuses « études de genre. »</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Les défenseurs de ce concept, qui l’emploient massivement aujourd’hui (on ne compte pas les séminaires, colloques, cours, publications dédiées à des études liées au genre dans tous les domaines de la  recherche)  nient avec véhémence qu’une quelconque « théorie » soit cachée derrière ce concept. Mais </w:t>
      </w:r>
      <w:r w:rsidRPr="00750A17">
        <w:rPr>
          <w:rFonts w:ascii="Tahoma" w:hAnsi="Tahoma" w:cs="Tahoma"/>
          <w:b/>
          <w:bCs/>
          <w:color w:val="2C2B2B"/>
          <w:sz w:val="18"/>
          <w:szCs w:val="18"/>
          <w:lang w:eastAsia="fr-FR"/>
        </w:rPr>
        <w:t>cette dénégation n’a tout simplement aucun sens.</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Prenons une analogie récente pour le montrer : il y a peu de temps encore, des milliers de chercheurs en histoire, en sociologie, en arts, dans tous les champs de la description du monde, tentaient d’interpréter les phénomènes qu’ils étudiaient du point de vue de la lutte des classes. La vie des sociétés humaines était analysée, à la suite des travaux de Marx notamment, comme un conflit latent entre les classes sociales, opposant ceux qui possèdent les moyens de production et ceux qui les mettent en œuvre.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Le concept de lutte des classes était fondé sur cette vision politique particulière et engagée. Mais pendant des décennies, des universitaires ont prétendu produire, à partir de ce concept, une littérature, une économie, une histoire rigoureusement scientifiques. C’est exactement la même supercherie que reproduisent aujourd’hui les promoteurs du concept de genre. Interpréter l’histoire, la littérature, la vie sociale, comme les lieux de la domination masculine par la construction des stéréotypes sexués, peut être une hypothèse de travail ; mais il s’agit bien d’une théorie particulière, et à ce titre</w:t>
      </w:r>
      <w:r w:rsidRPr="00750A17">
        <w:rPr>
          <w:rFonts w:ascii="Tahoma" w:hAnsi="Tahoma" w:cs="Tahoma"/>
          <w:b/>
          <w:bCs/>
          <w:color w:val="2C2B2B"/>
          <w:sz w:val="18"/>
          <w:szCs w:val="18"/>
          <w:lang w:eastAsia="fr-FR"/>
        </w:rPr>
        <w:t> elle n’a rien d’une évidence incontestable.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Pour ma part, je la crois même parfaitement inexacte – aussi fausse que le marxisme, et tout aussi dévastatrice. Et j’entends bien continuer de la critiquer, sans que cela donne à qui que ce soit le droit de me traiter d’obscurantiste…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b/>
          <w:bCs/>
          <w:color w:val="2C2B2B"/>
          <w:sz w:val="18"/>
          <w:szCs w:val="18"/>
          <w:lang w:eastAsia="fr-FR"/>
        </w:rPr>
        <w:t>Nous touchons là à une remarque qui me semble essentielle.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Il est tout à fait permis de penser qu’il n’y a entre l’homme et la femme aucune différence de nature, de défendre cette conception par la recherche, et même, pourquoi pas, de la promouvoir par l’action politique. C’est </w:t>
      </w:r>
      <w:hyperlink r:id="rId4" w:tgtFrame="_blank" w:history="1">
        <w:r w:rsidRPr="00750A17">
          <w:rPr>
            <w:rFonts w:ascii="Tahoma" w:hAnsi="Tahoma" w:cs="Tahoma"/>
            <w:color w:val="1772AF"/>
            <w:sz w:val="18"/>
            <w:szCs w:val="18"/>
            <w:lang w:eastAsia="fr-FR"/>
          </w:rPr>
          <w:t>ce que fait par exemple</w:t>
        </w:r>
      </w:hyperlink>
      <w:r w:rsidRPr="00750A17">
        <w:rPr>
          <w:rFonts w:ascii="Tahoma" w:hAnsi="Tahoma" w:cs="Tahoma"/>
          <w:color w:val="2C2B2B"/>
          <w:sz w:val="18"/>
          <w:szCs w:val="18"/>
          <w:lang w:eastAsia="fr-FR"/>
        </w:rPr>
        <w:t> Caroline de Haas, ancienne conseillère de Najat Vallaud-Belkacem, à qui j’ai pu répondre </w:t>
      </w:r>
      <w:hyperlink r:id="rId5" w:tgtFrame="_blank" w:history="1">
        <w:r w:rsidRPr="00750A17">
          <w:rPr>
            <w:rFonts w:ascii="Tahoma" w:hAnsi="Tahoma" w:cs="Tahoma"/>
            <w:color w:val="1772AF"/>
            <w:sz w:val="18"/>
            <w:szCs w:val="18"/>
            <w:lang w:eastAsia="fr-FR"/>
          </w:rPr>
          <w:t>dans une tribune parue dans </w:t>
        </w:r>
        <w:r w:rsidRPr="00750A17">
          <w:rPr>
            <w:rFonts w:ascii="Tahoma" w:hAnsi="Tahoma" w:cs="Tahoma"/>
            <w:i/>
            <w:iCs/>
            <w:color w:val="1772AF"/>
            <w:sz w:val="18"/>
            <w:szCs w:val="18"/>
            <w:lang w:eastAsia="fr-FR"/>
          </w:rPr>
          <w:t>le Monde</w:t>
        </w:r>
      </w:hyperlink>
      <w:r w:rsidRPr="00750A17">
        <w:rPr>
          <w:rFonts w:ascii="Tahoma" w:hAnsi="Tahoma" w:cs="Tahoma"/>
          <w:color w:val="2C2B2B"/>
          <w:sz w:val="18"/>
          <w:szCs w:val="18"/>
          <w:lang w:eastAsia="fr-FR"/>
        </w:rPr>
        <w:t>. Le débat démocratique suppose des visions et des projets assumés loyalement.</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Il est en revanche proprement scandaleux d’empêcher le dialogue, d’interdire la critique, en cachant la réalité des intentions que l’on poursuit.</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b/>
          <w:bCs/>
          <w:color w:val="2C2B2B"/>
          <w:sz w:val="18"/>
          <w:szCs w:val="18"/>
          <w:lang w:eastAsia="fr-FR"/>
        </w:rPr>
        <w:t>Toute la politique du gouvernement est animée par la conception anthropologique que recouvre le concept de genre </w:t>
      </w:r>
      <w:r w:rsidRPr="00750A17">
        <w:rPr>
          <w:rFonts w:ascii="Tahoma" w:hAnsi="Tahoma" w:cs="Tahoma"/>
          <w:color w:val="2C2B2B"/>
          <w:sz w:val="18"/>
          <w:szCs w:val="18"/>
          <w:lang w:eastAsia="fr-FR"/>
        </w:rPr>
        <w:t>- je l’écrivais déjà </w:t>
      </w:r>
      <w:hyperlink r:id="rId6" w:tooltip="Droits des femmes : chercher l’égalité, ou l’uniformité ?" w:history="1">
        <w:r w:rsidRPr="00750A17">
          <w:rPr>
            <w:rFonts w:ascii="Tahoma" w:hAnsi="Tahoma" w:cs="Tahoma"/>
            <w:color w:val="1772AF"/>
            <w:sz w:val="18"/>
            <w:szCs w:val="18"/>
            <w:lang w:eastAsia="fr-FR"/>
          </w:rPr>
          <w:t>il y a plus d’un an</w:t>
        </w:r>
      </w:hyperlink>
      <w:r w:rsidRPr="00750A17">
        <w:rPr>
          <w:rFonts w:ascii="Tahoma" w:hAnsi="Tahoma" w:cs="Tahoma"/>
          <w:color w:val="2C2B2B"/>
          <w:sz w:val="18"/>
          <w:szCs w:val="18"/>
          <w:lang w:eastAsia="fr-FR"/>
        </w:rPr>
        <w:t>. Parmi d’autres textes, la loi sur l’égalité entre les hommes et les femmes, qui a été votée dernièrement à l’Assemblée nationale, en porte tout entière la marque. Prenons un seul exemple : pénaliser les couples dans lesquels l’homme ne prend pas comme la femme un congé parental, c’est affirmer que le père et la mère ont exactement la même place à tenir auprès de l’enfant qui vient de naître – et que cette conception pluri-millénaire qui donne au père une responsabilité singulière pour subvenir aux besoins du foyer est un pur stéréotype qu’il s’agit de déconstruire au nom de l’égalité.</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Affirmer, comme le fait la loi Taubira, qu’un enfant peut avoir deux pères ou deux mères, c’est dire qu’aucun des deux sexes n’a de fonction particulière dans la procréation, et que la faculté extraordinaire du corps maternel, qui donne chair à un nouvel être, n’est rien qu’une fonction biologique anodine qu’il faut dépasser lorsqu’elle devient une limite pénible à notre désir d’enfant.</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Tout cela repose sur une certaine conception du monde. Pourquoi ne pas l’assumer comme telle ? Le politique a le droit de défendre ses idées ; mais il est contraire à l’exigence démocratique de promouvoir une stratégie en la dissimulant à l’opinion. Prétendre que la théorie du genre est une « folle rumeur », qu’elle « n’existe pas », que le discours du gouvernement sur l’égalité est parfaitement neutre et dépourvu de postulats, </w:t>
      </w:r>
      <w:r w:rsidRPr="00750A17">
        <w:rPr>
          <w:rFonts w:ascii="Tahoma" w:hAnsi="Tahoma" w:cs="Tahoma"/>
          <w:b/>
          <w:bCs/>
          <w:color w:val="2C2B2B"/>
          <w:sz w:val="18"/>
          <w:szCs w:val="18"/>
          <w:lang w:eastAsia="fr-FR"/>
        </w:rPr>
        <w:t>c’est à l’évidence mépriser la vérité, et du même coup les citoyens.</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Puisque le gouvernement s’inspire du concept de genre pour construire sa politique, il a le devoir de l’assumer. Il a le droit de promouvoir une vision de l’égalité fondée sur l’indifférence ; mais il est absolument scandaleux qu’il le fasse dans le silence, </w:t>
      </w:r>
      <w:hyperlink r:id="rId7" w:tooltip="Droits des femmes : chercher l’égalité, ou l’uniformité ?" w:history="1">
        <w:r w:rsidRPr="00750A17">
          <w:rPr>
            <w:rFonts w:ascii="Tahoma" w:hAnsi="Tahoma" w:cs="Tahoma"/>
            <w:color w:val="1772AF"/>
            <w:sz w:val="18"/>
            <w:szCs w:val="18"/>
            <w:lang w:eastAsia="fr-FR"/>
          </w:rPr>
          <w:t>en détournant notamment de son but l’Education nationale</w:t>
        </w:r>
      </w:hyperlink>
      <w:r w:rsidRPr="00750A17">
        <w:rPr>
          <w:rFonts w:ascii="Tahoma" w:hAnsi="Tahoma" w:cs="Tahoma"/>
          <w:b/>
          <w:bCs/>
          <w:color w:val="2C2B2B"/>
          <w:sz w:val="18"/>
          <w:szCs w:val="18"/>
          <w:lang w:eastAsia="fr-FR"/>
        </w:rPr>
        <w:t> pour que les élèves apprennent comme une évidence scientifique ce qui n’est qu’une hypothèse idéologique.</w:t>
      </w:r>
      <w:r w:rsidRPr="00750A17">
        <w:rPr>
          <w:rFonts w:ascii="Tahoma" w:hAnsi="Tahoma" w:cs="Tahoma"/>
          <w:color w:val="2C2B2B"/>
          <w:sz w:val="18"/>
          <w:szCs w:val="18"/>
          <w:lang w:eastAsia="fr-FR"/>
        </w:rPr>
        <w:t> Nous ne manquons pas </w:t>
      </w:r>
      <w:hyperlink r:id="rId8" w:history="1">
        <w:r w:rsidRPr="00750A17">
          <w:rPr>
            <w:rFonts w:ascii="Tahoma" w:hAnsi="Tahoma" w:cs="Tahoma"/>
            <w:color w:val="1772AF"/>
            <w:sz w:val="18"/>
            <w:szCs w:val="18"/>
            <w:lang w:eastAsia="fr-FR"/>
          </w:rPr>
          <w:t>d’exemples concrets</w:t>
        </w:r>
      </w:hyperlink>
      <w:r w:rsidRPr="00750A17">
        <w:rPr>
          <w:rFonts w:ascii="Tahoma" w:hAnsi="Tahoma" w:cs="Tahoma"/>
          <w:color w:val="2C2B2B"/>
          <w:sz w:val="18"/>
          <w:szCs w:val="18"/>
          <w:lang w:eastAsia="fr-FR"/>
        </w:rPr>
        <w:t> pour montrer que, malgré tous les démentis, c’est ce qui est en train de se produire dans les salles de classe…</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2C2B2B"/>
          <w:sz w:val="18"/>
          <w:szCs w:val="18"/>
          <w:lang w:eastAsia="fr-FR"/>
        </w:rPr>
        <w:t>Si le gouvernement se refuse aujourd’hui à assumer cette politique, c’est qu’il sait qu’elle serait très largement rejetée. Nous savons combien l’altérité structure en profondeur ce que nous sommes. </w:t>
      </w:r>
      <w:r w:rsidRPr="00750A17">
        <w:rPr>
          <w:rFonts w:ascii="Tahoma" w:hAnsi="Tahoma" w:cs="Tahoma"/>
          <w:b/>
          <w:bCs/>
          <w:color w:val="2C2B2B"/>
          <w:sz w:val="18"/>
          <w:szCs w:val="18"/>
          <w:lang w:eastAsia="fr-FR"/>
        </w:rPr>
        <w:t>Oui, notre expérience humaine est habitée par la magnifique fécondité de la différence, et en particulier de la différence des sexes</w:t>
      </w:r>
      <w:r w:rsidRPr="00750A17">
        <w:rPr>
          <w:rFonts w:ascii="Tahoma" w:hAnsi="Tahoma" w:cs="Tahoma"/>
          <w:color w:val="2C2B2B"/>
          <w:sz w:val="18"/>
          <w:szCs w:val="18"/>
          <w:lang w:eastAsia="fr-FR"/>
        </w:rPr>
        <w:t> ; oui, cette altérité naturelle fait partie de nous, de notre origine, de notre identité, de nos relations</w:t>
      </w:r>
      <w:r>
        <w:rPr>
          <w:rFonts w:ascii="Tahoma" w:hAnsi="Tahoma" w:cs="Tahoma"/>
          <w:color w:val="2C2B2B"/>
          <w:sz w:val="18"/>
          <w:szCs w:val="18"/>
          <w:lang w:eastAsia="fr-FR"/>
        </w:rPr>
        <w:t xml:space="preserve"> </w:t>
      </w:r>
      <w:r w:rsidRPr="00750A17">
        <w:rPr>
          <w:rFonts w:ascii="Tahoma" w:hAnsi="Tahoma" w:cs="Tahoma"/>
          <w:i/>
          <w:iCs/>
          <w:color w:val="2C2B2B"/>
          <w:sz w:val="18"/>
          <w:szCs w:val="18"/>
          <w:lang w:eastAsia="fr-FR"/>
        </w:rPr>
        <w:t>.</w:t>
      </w:r>
      <w:r w:rsidRPr="00750A17">
        <w:rPr>
          <w:rFonts w:ascii="Tahoma" w:hAnsi="Tahoma" w:cs="Tahoma"/>
          <w:color w:val="2C2B2B"/>
          <w:sz w:val="18"/>
          <w:szCs w:val="18"/>
          <w:lang w:eastAsia="fr-FR"/>
        </w:rPr>
        <w:t>Pour le redire encore et toujours, nous marcherons demain avec tout ce que d’autres voudraient nier : la liberté de nos consciences, la lucidité de nos esprits, la paix que nous espérons pour la société, nos cœurs qui veulent encore s’émerveiller de l’autre, et puis nos corps d’hommes et de femmes.</w:t>
      </w:r>
    </w:p>
    <w:p w:rsidR="006F307D" w:rsidRPr="00750A17" w:rsidRDefault="006F307D" w:rsidP="00750A17">
      <w:pPr>
        <w:shd w:val="clear" w:color="auto" w:fill="FFFFFF"/>
        <w:spacing w:before="150" w:after="0" w:line="270" w:lineRule="atLeast"/>
        <w:jc w:val="both"/>
        <w:rPr>
          <w:rFonts w:ascii="Tahoma" w:hAnsi="Tahoma" w:cs="Tahoma"/>
          <w:color w:val="2C2B2B"/>
          <w:sz w:val="18"/>
          <w:szCs w:val="18"/>
          <w:lang w:eastAsia="fr-FR"/>
        </w:rPr>
      </w:pPr>
      <w:r w:rsidRPr="00750A17">
        <w:rPr>
          <w:rFonts w:ascii="Tahoma" w:hAnsi="Tahoma" w:cs="Tahoma"/>
          <w:color w:val="FFFFFF"/>
          <w:sz w:val="18"/>
          <w:szCs w:val="18"/>
          <w:lang w:eastAsia="fr-FR"/>
        </w:rPr>
        <w:t>.</w:t>
      </w:r>
    </w:p>
    <w:p w:rsidR="006F307D" w:rsidRDefault="006F307D" w:rsidP="00750A17">
      <w:r w:rsidRPr="00750A17">
        <w:rPr>
          <w:rFonts w:ascii="Tahoma" w:hAnsi="Tahoma" w:cs="Tahoma"/>
          <w:color w:val="2C2B2B"/>
          <w:sz w:val="18"/>
          <w:szCs w:val="18"/>
          <w:lang w:eastAsia="fr-FR"/>
        </w:rPr>
        <w:br/>
      </w:r>
      <w:bookmarkStart w:id="0" w:name="_GoBack"/>
      <w:bookmarkEnd w:id="0"/>
    </w:p>
    <w:sectPr w:rsidR="006F307D" w:rsidSect="007A3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333"/>
    <w:rsid w:val="0040452C"/>
    <w:rsid w:val="004644A4"/>
    <w:rsid w:val="005E0190"/>
    <w:rsid w:val="0061768F"/>
    <w:rsid w:val="006F307D"/>
    <w:rsid w:val="00750A17"/>
    <w:rsid w:val="007A3B5E"/>
    <w:rsid w:val="00947333"/>
    <w:rsid w:val="00E0158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19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press.fr/actualite/societe/identite-sexuelle-ce-que-disent-les-manuels-scolaires_1025364.html" TargetMode="External"/><Relationship Id="rId3" Type="http://schemas.openxmlformats.org/officeDocument/2006/relationships/webSettings" Target="webSettings.xml"/><Relationship Id="rId7" Type="http://schemas.openxmlformats.org/officeDocument/2006/relationships/hyperlink" Target="http://www.fxbellamy.fr/blog/2012/12/01/egalite-ou-uniform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xbellamy.fr/blog/2012/12/01/egalite-ou-uniformite/" TargetMode="External"/><Relationship Id="rId5" Type="http://schemas.openxmlformats.org/officeDocument/2006/relationships/hyperlink" Target="http://www.lemonde.fr/idees/article/2011/08/26/femmes-ne-devenez-pas-des-hommes-comme-les-autres_1563593_3232.html" TargetMode="External"/><Relationship Id="rId10" Type="http://schemas.openxmlformats.org/officeDocument/2006/relationships/theme" Target="theme/theme1.xml"/><Relationship Id="rId4" Type="http://schemas.openxmlformats.org/officeDocument/2006/relationships/hyperlink" Target="http://www.lemonde.fr/idees/article/2011/08/24/theorie-du-genre-homoparentalite-ces-ultimes-sursauts-reactionnaires_1562407_323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1184</Words>
  <Characters>6514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théorie du genre existe-t-elle </dc:title>
  <dc:subject/>
  <dc:creator>laurent  delaplace</dc:creator>
  <cp:keywords/>
  <dc:description/>
  <cp:lastModifiedBy>REMOND</cp:lastModifiedBy>
  <cp:revision>2</cp:revision>
  <cp:lastPrinted>2014-02-06T15:06:00Z</cp:lastPrinted>
  <dcterms:created xsi:type="dcterms:W3CDTF">2014-02-09T21:02:00Z</dcterms:created>
  <dcterms:modified xsi:type="dcterms:W3CDTF">2014-02-09T21:02:00Z</dcterms:modified>
</cp:coreProperties>
</file>